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9FB6A" w14:textId="7705391B" w:rsidR="00D81719" w:rsidRDefault="00D81719"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NCTS NLO2 </w:t>
      </w:r>
      <w:r>
        <w:rPr>
          <w:rFonts w:ascii="Arial" w:hAnsi="Arial" w:cs="Arial"/>
          <w:sz w:val="36"/>
          <w:szCs w:val="36"/>
        </w:rPr>
        <w:t>Highlights</w:t>
      </w:r>
      <w:r>
        <w:br/>
      </w:r>
      <w:r>
        <w:br/>
      </w:r>
      <w:r>
        <w:rPr>
          <w:rStyle w:val="Strong"/>
          <w:rFonts w:ascii="Arial" w:hAnsi="Arial" w:cs="Arial"/>
          <w:color w:val="006699"/>
          <w:sz w:val="27"/>
          <w:szCs w:val="27"/>
          <w:shd w:val="clear" w:color="auto" w:fill="FFFFFF"/>
        </w:rPr>
        <w:t>♦ Laser-free Aiming</w:t>
      </w:r>
      <w:r>
        <w:rPr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Laser-free aiming provides an accurate scan indication, creating a customer-friendly operating environment while removing the risk of eye injury.</w:t>
      </w:r>
      <w:r>
        <w:rPr>
          <w:sz w:val="27"/>
          <w:szCs w:val="27"/>
        </w:rPr>
        <w:br/>
      </w:r>
      <w:r>
        <w:rPr>
          <w:rStyle w:val="Strong"/>
          <w:rFonts w:ascii="Arial" w:hAnsi="Arial" w:cs="Arial"/>
          <w:color w:val="006699"/>
          <w:sz w:val="27"/>
          <w:szCs w:val="27"/>
          <w:shd w:val="clear" w:color="auto" w:fill="FFFFFF"/>
        </w:rPr>
        <w:t>♦ Interface Flexibility </w:t>
      </w: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Choose USB HID KEYBOARD, USB VCP or RS-232 connectivity.</w:t>
      </w:r>
      <w:r>
        <w:rPr>
          <w:sz w:val="27"/>
          <w:szCs w:val="27"/>
        </w:rPr>
        <w:br/>
      </w:r>
      <w:r>
        <w:rPr>
          <w:rStyle w:val="Strong"/>
          <w:rFonts w:ascii="Arial" w:hAnsi="Arial" w:cs="Arial"/>
          <w:color w:val="006699"/>
          <w:sz w:val="27"/>
          <w:szCs w:val="27"/>
          <w:shd w:val="clear" w:color="auto" w:fill="FFFFFF"/>
        </w:rPr>
        <w:t>♦ Easily Scans Barcodes on Screens</w:t>
      </w:r>
      <w:r>
        <w:rPr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Easily scans barcodes directly from mobile device or computer screens, almost as if they were printed on paper.</w:t>
      </w:r>
      <w:r>
        <w:rPr>
          <w:sz w:val="27"/>
          <w:szCs w:val="27"/>
        </w:rPr>
        <w:br/>
      </w:r>
      <w:r>
        <w:rPr>
          <w:rStyle w:val="Strong"/>
          <w:rFonts w:ascii="Arial" w:hAnsi="Arial" w:cs="Arial"/>
          <w:color w:val="006699"/>
          <w:sz w:val="27"/>
          <w:szCs w:val="27"/>
          <w:shd w:val="clear" w:color="auto" w:fill="FFFFFF"/>
        </w:rPr>
        <w:t>♦ Durable</w:t>
      </w:r>
      <w:r>
        <w:rPr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 </w:t>
      </w:r>
      <w:r>
        <w:rPr>
          <w:rFonts w:ascii="SimSun" w:eastAsia="SimSun" w:hAnsi="SimSun"/>
          <w:color w:val="000000"/>
          <w:sz w:val="27"/>
          <w:szCs w:val="27"/>
          <w:shd w:val="clear" w:color="auto" w:fill="FFFFFF"/>
        </w:rPr>
        <w:t>NCTS NLO2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can withstand up to drop to concrete from distances as high as 1.2m (4 ft). </w:t>
      </w:r>
      <w:r>
        <w:br/>
      </w:r>
      <w:r>
        <w:br/>
      </w:r>
      <w:r>
        <w:rPr>
          <w:noProof/>
        </w:rPr>
        <w:drawing>
          <wp:inline distT="0" distB="0" distL="0" distR="0" wp14:anchorId="661F0BF0" wp14:editId="5019EEE5">
            <wp:extent cx="8572500" cy="2247900"/>
            <wp:effectExtent l="0" t="0" r="0" b="0"/>
            <wp:docPr id="1" name="Picture 1" descr="http://ueeshop.ly200-cdn.com/u_file/UPAD/UPAD132/1803/photo/68baa63f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eeshop.ly200-cdn.com/u_file/UPAD/UPAD132/1803/photo/68baa63fc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 </w:t>
      </w:r>
      <w:r>
        <w:br/>
      </w:r>
      <w:r>
        <w:rPr>
          <w:rFonts w:ascii="Arial" w:hAnsi="Arial" w:cs="Arial"/>
          <w:sz w:val="36"/>
          <w:szCs w:val="36"/>
          <w:shd w:val="clear" w:color="auto" w:fill="FFFFFF"/>
        </w:rPr>
        <w:t>Product Details</w:t>
      </w:r>
      <w:r>
        <w:br/>
      </w:r>
      <w: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Manufacturing, healthcare, retail point-of-sale and other workflow environments often involve mixed barcode applications. If your organization is the same, and you’d benefit from hands-free, presentation scanning,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NCTS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has just the solution: the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NLO2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area-imaging scanner.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Simply put, the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NLO2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scanner is a high achiever. It’s the advanced area-imaging scanner engineered to decode all standard 1D, PDF and 2D codes.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Powered by COMS array sensor, the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NLO2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is defining industry standards for imaging solutions. It even gives you aggressive reading of barcodes on highly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reflective surfaces like mobile phone screens.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Find out more about what your organization can accomplish with the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NLO2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area-imaging scanner and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NCTS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workflow solutions. </w:t>
      </w:r>
      <w:r>
        <w:rPr>
          <w:rFonts w:ascii="Arial" w:hAnsi="Arial" w:cs="Arial"/>
          <w:sz w:val="27"/>
          <w:szCs w:val="27"/>
        </w:rPr>
        <w:br/>
        <w:t> 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►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NCTS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barcode scanners are compatible with almost all common systems, 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as Windows, Android, Mac OS, IOS, Linux etc.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►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NCTS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barcode scanners support multiple keyboard language: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 USA, Germany, French, Italy, Spanish, Turkey, Belgium, Brazil Czech and so on. 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►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NCTS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barcode scanners are play and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play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no need to manual install driver.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►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NCTS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barcode scanners apply to registry office of the airport/train station, hospitals, warehouses, supermarkets, retail stores, libraries, catering, logistics, express delivery, etc.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►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Support multi-barcodes, such as:</w:t>
      </w:r>
      <w:r>
        <w:rPr>
          <w:rFonts w:ascii="Arial" w:hAnsi="Arial" w:cs="Arial"/>
          <w:color w:val="00669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1D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>：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 xml:space="preserve"> Codebar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Code128,Code39,Code39,Code93,Code11,EAN13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EAN8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GS1-Databar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GS1-128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>（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EAN-128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>），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Interleaved 2 of 5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Matrix 2 of 5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Industry 2 of 5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UPC-A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UPC-E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ISBN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ISSN   2D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>：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 xml:space="preserve"> PDF417, Data Matrix, QR 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Code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Micro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 xml:space="preserve"> PDF417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 xml:space="preserve">Micro QR 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Code</w:t>
      </w:r>
      <w:r>
        <w:rPr>
          <w:rFonts w:ascii="MS Gothic" w:eastAsia="MS Gothic" w:hAnsi="MS Gothic" w:cs="MS Gothic" w:hint="eastAsia"/>
          <w:color w:val="0000FF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Aztec</w:t>
      </w:r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 xml:space="preserve"> Code</w:t>
      </w:r>
    </w:p>
    <w:sectPr w:rsidR="00D8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19"/>
    <w:rsid w:val="00D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9170"/>
  <w15:chartTrackingRefBased/>
  <w15:docId w15:val="{CBC7DE85-A17E-4E0C-A21D-56BE5B34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1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2019-02-07T07:59:00Z</dcterms:created>
  <dcterms:modified xsi:type="dcterms:W3CDTF">2019-02-07T08:02:00Z</dcterms:modified>
</cp:coreProperties>
</file>